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0"/>
        </w:rPr>
        <w:t>管理学原理与微观经济学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（2023版）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《管理学原理与微观经济学》考试内容涵盖管理学原理、微观经济学2门课程。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（一）管理学原理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要求考生能够掌握管理理论、管理基本职能等知识，具备管理者的基本素质和能力。具体包括：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1.掌握管理的基本概念和性质、管理者的角色和技能；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2.掌握管理理论发展脉络及其主要内容；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3.掌握管理基本职能及其理论和方法；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运用管理学的基本思想、理论知识和方法分析解决实际问题。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（二）微观经济学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微观经济学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435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利用市场规律分析现实经济问题的素质。</w:t>
      </w:r>
    </w:p>
    <w:p>
      <w:pPr>
        <w:ind w:firstLine="435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 xml:space="preserve">2. 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运用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简单的数学模型和图示工具分析经济理论和经济现象的能力。</w:t>
      </w:r>
    </w:p>
    <w:p>
      <w:pPr>
        <w:ind w:firstLine="435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 xml:space="preserve"> 预判经济政策的现实影响的能力。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150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180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答题方式为闭卷、笔试。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试卷题型结构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管理学原理（75分）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1.名词解释，共15分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2.选择题，共15分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3.简答题，共20分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4.论述题，共10分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5.案例分析题，共15分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（二）微观经济学（75分）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2.单项选择，共10分。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.简答题，共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计算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Ⅲ.考查内容</w:t>
      </w: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 xml:space="preserve"> 第一部分 管理学原理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一、总论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（一）管理学导论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1.管理的内涵与本质；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2.管理者角色与技能；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3.管理的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职能、特征，基本原理与方法；</w:t>
      </w:r>
    </w:p>
    <w:p>
      <w:pPr>
        <w:rPr>
          <w:rFonts w:hint="eastAsia"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管理活动的时代背景。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（二）管理理论的历史演变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1.古典管理理论（科学管理理论、一般管理理论、科层组织理论）；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2.行为科学理论；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3.现代管理思想。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二、决策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（一）决策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决策的含义、类型与特征；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决策的过程及影响因素；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.环境分析与决策方法。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 xml:space="preserve">（二）计划 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计划的重要性及含义；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计划的基本原理；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计划程序及方法；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目标管理。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三、组织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1.组织与组织结构的含义；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2.组织设计的原则及影响因素；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3.组织结构；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4.组织整合；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.人员配备。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四、领导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领导的内涵及领导权力来源；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 xml:space="preserve">领导理论；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激励的基础；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激励理论与方法；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沟通的含义、过程与类型；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沟通障碍及其克服。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五、控制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1.控制的内涵与原则；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2.控制的类型；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3.控制的过程；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六、创新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1.创新的内涵与类型；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2.创新过程及其管理。</w:t>
      </w:r>
    </w:p>
    <w:p>
      <w:pPr>
        <w:rPr>
          <w:rFonts w:hint="eastAsia" w:ascii="Times New Roman" w:hAnsi="Times New Roman" w:eastAsia="宋体" w:cs="Times New Roman"/>
          <w:color w:val="auto"/>
          <w:sz w:val="28"/>
          <w:szCs w:val="32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第二部分 微观经济学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一、导论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1.西方经济学的界定。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2.稀缺性。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3.西方经济学的具体研究方法。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二、需求、供给和均衡价格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1.需求的概念、需求规律、影响需求量的其它因素、影响需求量的变动和需求的变动、从单个消费者的需求到市场需求。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2.供给的概念、供给规律、影响供给量的其它因素、影响供给量的变动和供给的变动、从单个生产者的供给到市场供给。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3.均衡的含义、均衡价格和均衡数量、市场均衡的变动。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4.弹性的概念、需求的价格弹性、其他需求弹性、供给弹性。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5.支持价格和限制价格、税收效应分析、弹性和收入。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三、消费者选择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1.效用和欲望、总效用和边际效用递减规律、效用最大化、消费者的需求曲线、消费者剩余。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2.偏好和选择、无差异曲线及其特点、边际替代率及其递减规律。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3.预算约束线的含义、预算约束线的变动。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4.消费者均衡的决定、收入变动对消费者均衡的影响、价格变动对消费者均衡的影响。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5.替代效应和收入效应的含义、正常品的替代效应和收入效应、低档品的替代效应和收入效应、吉芬商品的替代效应和收入效应、消费者需求曲线的形状。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四、企业的生产和成本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1.企业的类型、企业利润最大化目标。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2.生产和生产函数、短期和长期、生产函数的例子。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3.总产量、平均产量和边际产量及其相互之间的关系、边际报酬递减规律、生产的三个阶段。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4.等产量曲线及其性质、边际技术替代率及其递减规律、等成本线、生产要素最优组合、生产扩展线。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5.经济学中的成本、短期成本的概念、短期成本曲线及其相互之间的关系。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6.长期成本的概念、长期总成本曲线、产品平均成本曲线、规模经济和长期平均成本曲线的形状、长期边际成本曲线。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五、完全竞争市场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1.企业收益和市场结构、划分市场结构的依据、企业利润最大化原则。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2.完全竞争企业面临的需求曲线、完全竞争企业的收益曲线。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3.利润最大化产量的决定、利润最大化和盈亏、亏损时的决策、企业和市场的短期供给曲线。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4.企业规模调整、行业规模调整、长期均衡、长期供给曲线。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六、不完全竞争市场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1.垄断的含义及其原因、垄断企业的需求曲线和收益曲线、垄断企业的短期均衡和长期均衡、价格歧视。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2.垄断竞争的特点、垄断竞争企业的需求曲线和收益曲线、垄断竞争企业的短期均衡和长期均衡。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3.寡头的含义及其特征、古诺模型、斯威齐模型。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4.不同市场静态效率和动态效率比较。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七、生产要素市场和收入分配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1.完全竞争企业的要素使用原则、完全竞争企业的要素需求曲线、完全竞争市场的要素需求曲线。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2.要素供给问题、要素供给原则、预算线-无差异曲线分析、要素供给曲线。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3.劳动供给和闲暇需求、劳动供给均衡、劳动供给曲线、替代效应和收入效应、劳动市场的供求均衡和工资的决定。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4.土地的供给曲线、使用土地的价格和地租。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5.资本和利息的含义、资本的供给、资本市场的均衡。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6.产品卖方垄断条件下的要素价格决定、要素买方垄断条件下的要素价格决定。 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八、一般均衡和效率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1.局部均衡和一般均衡的概念。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2.帕累托最优概念、交换效率、生产效率、交换和生产的帕累托最优条件。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3.完全竞争市场的一般均衡状态、均衡状态和帕累托最优条件。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九、市场失灵和微观经济政策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1.垄断和低效率、寻租活动分析、对垄断的监管。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2.公共物品和市场失灵、公共资源。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3.外部性影响及其分类、外部性影响和资源配置低效率、就正外部性影响的政策、外部性影响和环境保护。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4.信息不完全和市场失灵、次品市场和逆向选择、保险市场和道德风险、纠正信息不完全的政策。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5.收入分配不平等的度量、收入再分配、公平和效率。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32"/>
        </w:rPr>
        <w:t>IV</w:t>
      </w: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.参考书目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.《管理学》编写组，管理学（马克思主义理论研究和建设工程重点教材）［M］.高等教育出版社，2019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.斯蒂芬·P ·罗宾斯.管理学第13版［M］.中国人民大学出版社，2017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3.《西方经济学》编写组编《西方经济学（上册）》，高等教育出版社，2012</w:t>
      </w: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p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43EF"/>
    <w:multiLevelType w:val="singleLevel"/>
    <w:tmpl w:val="932843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500D7D"/>
    <w:multiLevelType w:val="singleLevel"/>
    <w:tmpl w:val="EE500D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476D36"/>
    <w:multiLevelType w:val="singleLevel"/>
    <w:tmpl w:val="5F476D3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476E8A"/>
    <w:multiLevelType w:val="singleLevel"/>
    <w:tmpl w:val="5F476E8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477156"/>
    <w:multiLevelType w:val="singleLevel"/>
    <w:tmpl w:val="5F47715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7C4DFEDB"/>
    <w:multiLevelType w:val="singleLevel"/>
    <w:tmpl w:val="7C4DFEDB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24162"/>
    <w:rsid w:val="000E1610"/>
    <w:rsid w:val="00117B10"/>
    <w:rsid w:val="001221E5"/>
    <w:rsid w:val="001755ED"/>
    <w:rsid w:val="0026432B"/>
    <w:rsid w:val="00337D59"/>
    <w:rsid w:val="00502F1A"/>
    <w:rsid w:val="00552800"/>
    <w:rsid w:val="00580858"/>
    <w:rsid w:val="00605DDE"/>
    <w:rsid w:val="007A7A20"/>
    <w:rsid w:val="0085226D"/>
    <w:rsid w:val="00887B8D"/>
    <w:rsid w:val="00894F10"/>
    <w:rsid w:val="00966C26"/>
    <w:rsid w:val="00987D92"/>
    <w:rsid w:val="00A13528"/>
    <w:rsid w:val="00AC096D"/>
    <w:rsid w:val="00B97094"/>
    <w:rsid w:val="00DC1C10"/>
    <w:rsid w:val="00F44EA5"/>
    <w:rsid w:val="00FF0714"/>
    <w:rsid w:val="1FC717AE"/>
    <w:rsid w:val="2E6C4A9A"/>
    <w:rsid w:val="4C70447E"/>
    <w:rsid w:val="5814215F"/>
    <w:rsid w:val="60E33972"/>
    <w:rsid w:val="701F1B8E"/>
    <w:rsid w:val="792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2366</Words>
  <Characters>2476</Characters>
  <Lines>18</Lines>
  <Paragraphs>5</Paragraphs>
  <TotalTime>73</TotalTime>
  <ScaleCrop>false</ScaleCrop>
  <LinksUpToDate>false</LinksUpToDate>
  <CharactersWithSpaces>2485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dcterms:modified xsi:type="dcterms:W3CDTF">2023-06-15T10:10:09Z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BFC0362D0049438D82FD7C658447413A_13</vt:lpwstr>
  </property>
</Properties>
</file>